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به راه خدا بر محوریّت حکمت و موعظۀ حسنه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مجلس شصت و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المصطفیٰ محمّدٍ</w:t>
      </w:r>
    </w:p>
    <w:p>
      <w:pPr>
        <w:pStyle w:val="VasatChinMatn"/>
      </w:pPr>
      <w:r>
        <w:rPr>
          <w:rtl w:val="0"/>
          <w:lang w:val="fa-IR"/>
        </w:rPr>
        <w:t xml:space="preserve">و علَی أهل‌بیته الطّاهرینَ المعصومینَ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1"/>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مگر چند راه وجود دارد که حضرت سجّاد در اینجا می‌فرماید: «من راه‌های طلب را باز می‌بینم و بسته نمی‌بینم»؟!</w:t>
      </w:r>
    </w:p>
    <w:p>
      <w:pPr/>
      <w:r>
        <w:rPr>
          <w:rtl w:val="0"/>
          <w:lang w:val="fa-IR"/>
        </w:rPr>
        <w:t xml:space="preserve">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2"/>
      </w:r>
      <w:r>
        <w:rPr>
          <w:rtl w:val="0"/>
          <w:lang w:val="fa-IR"/>
        </w:rPr>
        <w:t xml:space="preserve"> و بگوید برای چه می‌خواهد او را ببیند و برای چه می‌خواهد وقت ملاقات 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1"/>
      </w:pPr>
      <w:r>
        <w:rPr>
          <w:rtl w:val="0"/>
          <w:lang w:val="fa-IR"/>
        </w:rPr>
        <w:t xml:space="preserve">ارتباط انسان با پروردگار تکوینی است، نه تشریعی و اعتباری!</w:t>
      </w:r>
    </w:p>
    <w:p>
      <w:pPr/>
      <w:r>
        <w:rPr>
          <w:rtl w:val="0"/>
          <w:lang w:val="fa-IR"/>
        </w:rPr>
        <w:t xml:space="preserve">حالا آیا قضیّۀ خدا هم همین‌طور است؟! آیا راه خدا هم این‌قدر پیچ و کش و قوس 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در جلسات قبل عرض کردیم که ارتباط انسان با پروردگار، ارتباط تکوینی است نه تشریعی!</w:t>
      </w:r>
      <w:r>
        <w:rPr>
          <w:rStyle w:val="FootnoteReference"/>
        </w:rPr>
        <w:footnoteReference w:id="3"/>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1"/>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 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5"/>
      </w:r>
    </w:p>
    <w:p>
      <w:pPr>
        <w:pStyle w:val="Heading1"/>
      </w:pPr>
      <w:r>
        <w:rPr>
          <w:rtl w:val="0"/>
          <w:lang w:val="fa-IR"/>
        </w:rPr>
        <w:t xml:space="preserve">بهشت، ثمرۀ اطاعت و حفظ ارتباط با خدا</w:t>
      </w:r>
    </w:p>
    <w:p>
      <w:pPr/>
      <w:r>
        <w:rPr>
          <w:rtl w:val="0"/>
          <w:lang w:val="fa-IR"/>
        </w:rPr>
        <w:t xml:space="preserve">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 باشد: </w:t>
      </w:r>
      <w:r>
        <w:rPr>
          <w:rStyle w:val="RevayatArabi"/>
          <w:rtl w:val="0"/>
          <w:lang w:val="fa-IR"/>
        </w:rPr>
        <w:t xml:space="preserve">«و لو کانَ سیّدًا قرشیًا!»</w:t>
      </w:r>
    </w:p>
    <w:p>
      <w:pPr/>
      <w:r>
        <w:rPr>
          <w:rtl w:val="0"/>
          <w:lang w:val="fa-IR"/>
        </w:rPr>
        <w:t xml:space="preserve">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6"/>
      </w:r>
      <w:r>
        <w:rPr>
          <w:rtl w:val="0"/>
          <w:lang w:val="fa-IR"/>
        </w:rPr>
        <w:t xml:space="preserve"> می‌فرماید: </w:t>
      </w:r>
      <w:r>
        <w:rPr>
          <w:rtl w:val="0"/>
          <w:lang w:val="fa-IR"/>
        </w:rPr>
        <w:t xml:space="preserve">﴿سَبِيلِ رَبِّكَ﴾</w:t>
      </w:r>
      <w:r>
        <w:rPr>
          <w:rtl w:val="0"/>
          <w:lang w:val="fa-IR"/>
        </w:rPr>
        <w:t xml:space="preserve">، نمی‌فرماید: </w:t>
      </w:r>
      <w:r>
        <w:rPr>
          <w:rStyle w:val="Arabi"/>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7"/>
      </w:r>
    </w:p>
    <w:p>
      <w:pPr>
        <w:pStyle w:val="Heading1"/>
      </w:pPr>
      <w:r>
        <w:rPr>
          <w:rtl w:val="0"/>
          <w:lang w:val="fa-IR"/>
        </w:rPr>
        <w:t xml:space="preserve">دعوت به راه خدا با موعظه و حکمت، نه با زور و چماق</w:t>
      </w:r>
    </w:p>
    <w:p>
      <w:pPr/>
      <w:r>
        <w:rPr>
          <w:rtl w:val="0"/>
          <w:lang w:val="fa-IR"/>
        </w:rPr>
        <w:t xml:space="preserve">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﴿وَلَقَدۡ ءَاتَيۡنَا لُقۡمَٰنَ ٱلۡحِكۡمَةَ﴾</w:t>
      </w:r>
      <w:r>
        <w:rPr>
          <w:rtl w:val="0"/>
          <w:lang w:val="fa-IR"/>
        </w:rPr>
        <w:t xml:space="preserve">؛</w:t>
      </w:r>
      <w:r>
        <w:rPr>
          <w:rStyle w:val="FootnoteReference"/>
        </w:rPr>
        <w:footnoteReference w:id="8"/>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 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9"/>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10"/>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11"/>
      </w:r>
    </w:p>
    <w:p>
      <w:pPr>
        <w:pStyle w:val="Heading1"/>
      </w:pPr>
      <w:r>
        <w:rPr>
          <w:rtl w:val="0"/>
          <w:lang w:val="fa-IR"/>
        </w:rPr>
        <w:t xml:space="preserve">فرق جدل و شعر با طریق برهان</w:t>
      </w:r>
    </w:p>
    <w:p>
      <w:pPr/>
      <w:r>
        <w:rPr>
          <w:rtl w:val="0"/>
          <w:lang w:val="fa-IR"/>
        </w:rPr>
        <w:t xml:space="preserve">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Style w:val="Arabi"/>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﴿ٱدۡفَعۡ بِٱلَّتِي هِيَ أَحۡسَنُ﴾</w:t>
      </w:r>
      <w:r>
        <w:rPr>
          <w:rtl w:val="0"/>
          <w:lang w:val="fa-IR"/>
        </w:rPr>
        <w:t xml:space="preserve">،</w:t>
      </w:r>
      <w:r>
        <w:rPr>
          <w:rStyle w:val="FootnoteReference"/>
        </w:rPr>
        <w:footnoteReference w:id="12"/>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13"/>
      </w:r>
      <w:r>
        <w:rPr>
          <w:rtl w:val="0"/>
          <w:lang w:val="fa-IR"/>
        </w:rPr>
        <w:t xml:space="preserve"> راه مجادله چیست؟ آن راهی که بهتر است! بنشینید و بگویید: «سلام علیکم، رفیق چطوری؟!»</w:t>
      </w:r>
    </w:p>
    <w:p>
      <w:pPr/>
      <w:r>
        <w:rPr>
          <w:rtl w:val="0"/>
          <w:lang w:val="fa-IR"/>
        </w:rPr>
        <w:t xml:space="preserve">ـ الحمدللّه!</w:t>
      </w:r>
    </w:p>
    <w:p>
      <w:pPr/>
      <w:r>
        <w:rPr>
          <w:rtl w:val="0"/>
          <w:lang w:val="fa-IR"/>
        </w:rPr>
        <w:t xml:space="preserve">ـ حال شما چطور است؟</w:t>
      </w:r>
    </w:p>
    <w:p>
      <w:pPr/>
      <w:r>
        <w:rPr>
          <w:rtl w:val="0"/>
          <w:lang w:val="fa-IR"/>
        </w:rPr>
        <w:t xml:space="preserve">ـ من خیلی خوبم!</w:t>
      </w:r>
    </w:p>
    <w:p>
      <w:pPr/>
      <w:r>
        <w:rPr>
          <w:rtl w:val="0"/>
          <w:lang w:val="fa-IR"/>
        </w:rPr>
        <w:t xml:space="preserve">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1"/>
      </w:pPr>
      <w:r>
        <w:rPr>
          <w:rtl w:val="0"/>
          <w:lang w:val="fa-IR"/>
        </w:rPr>
        <w:t xml:space="preserve">نقش‌برآب شدن تمام اعتبارات و تخیّلات در زندگی پس از دنیا</w:t>
      </w:r>
    </w:p>
    <w:p>
      <w:pPr/>
      <w:r>
        <w:rPr>
          <w:rtl w:val="0"/>
          <w:lang w:val="fa-IR"/>
        </w:rPr>
        <w:t xml:space="preserve">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14"/>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15"/>
      </w:r>
      <w:r>
        <w:rPr>
          <w:rtl w:val="0"/>
          <w:lang w:val="fa-IR"/>
        </w:rPr>
        <w:t xml:space="preserve"> می‌شود! انسان در آنجا می‌یابد که تمام این کدورت‌ها سراب بوده است و به‌دنبال سراب رفته است.</w:t>
      </w:r>
    </w:p>
    <w:p>
      <w:pPr/>
      <w:r>
        <w:rPr>
          <w:rtl w:val="0"/>
          <w:lang w:val="fa-IR"/>
        </w:rPr>
        <w:t xml:space="preserve">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1"/>
      </w:pPr>
      <w:r>
        <w:rPr>
          <w:rtl w:val="0"/>
          <w:lang w:val="fa-IR"/>
        </w:rPr>
        <w:t xml:space="preserve">سفارش به نصیحت و موعظۀ حسنه در قرآن و روایات</w:t>
      </w:r>
    </w:p>
    <w:p>
      <w:pPr/>
      <w:r>
        <w:rPr>
          <w:rtl w:val="0"/>
          <w:lang w:val="fa-IR"/>
        </w:rPr>
        <w:t xml:space="preserve">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16"/>
      </w:r>
      <w:r>
        <w:rPr>
          <w:rtl w:val="0"/>
          <w:lang w:val="fa-IR"/>
        </w:rPr>
        <w:t xml:space="preserve"> نصیحت کردن در جمع، کوبیدن شخص است!» انسان باید 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1"/>
      </w:pPr>
      <w:r>
        <w:rPr>
          <w:rtl w:val="0"/>
          <w:lang w:val="fa-IR"/>
        </w:rPr>
        <w:t xml:space="preserve">اثرگذاری نصیحت با کلام نیکو و نرم</w:t>
      </w:r>
    </w:p>
    <w:p>
      <w:pPr/>
      <w:r>
        <w:rPr>
          <w:rtl w:val="0"/>
          <w:lang w:val="fa-IR"/>
        </w:rPr>
        <w:t xml:space="preserve">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17"/>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1"/>
      </w:pPr>
      <w:r>
        <w:rPr>
          <w:rtl w:val="0"/>
          <w:lang w:val="fa-IR"/>
        </w:rPr>
        <w:t xml:space="preserve">راه خدا، راه لینت است نه خشونت!</w:t>
      </w:r>
    </w:p>
    <w:p>
      <w:pPr/>
      <w:r>
        <w:rPr>
          <w:rtl w:val="0"/>
          <w:lang w:val="fa-IR"/>
        </w:rPr>
        <w:t xml:space="preserve">یک روز یک بندۀ خدای دیگری که ایشان هم واعظ بود و مرحوم آقا در بعضی از ماه‌های رمضان در مسجد قائم او را دعوت می‌کردند</w:t>
      </w:r>
      <w:r>
        <w:rPr>
          <w:rStyle w:val="FootnoteReference"/>
        </w:rPr>
        <w:footnoteReference w:id="18"/>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خلاصه بعضی‌ها این‌طور امر به معروف و نهی از منکر می‌کنند! علیٰ‌کلّ‌حال این کار صحیح نیست.</w:t>
      </w:r>
    </w:p>
    <w:p>
      <w:pPr/>
      <w:r>
        <w:rPr>
          <w:rtl w:val="0"/>
          <w:lang w:val="fa-IR"/>
        </w:rPr>
        <w:t xml:space="preserve">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9"/>
      </w:r>
      <w:r>
        <w:rPr>
          <w:rtl w:val="0"/>
          <w:lang w:val="fa-IR"/>
        </w:rPr>
        <w:t xml:space="preserve"> یعنی تو به فضل الهی نرم شدی، خوش‌بیان و خوش‌خَلق و خوش‌خُلق شدی! با لینت و آرامش و نرمی با مردم برخورد می‌کنی، نه با توپ و تشر!</w:t>
      </w:r>
    </w:p>
    <w:p>
      <w:pPr>
        <w:pStyle w:val="Heading1"/>
      </w:pPr>
      <w:r>
        <w:rPr>
          <w:rtl w:val="0"/>
          <w:lang w:val="fa-IR"/>
        </w:rPr>
        <w:t xml:space="preserve">دأب و روش انسان‌های بی‌منطق و بی‌دلیل</w:t>
      </w:r>
    </w:p>
    <w:p>
      <w:pPr/>
      <w:r>
        <w:rPr>
          <w:rtl w:val="0"/>
          <w:lang w:val="fa-IR"/>
        </w:rPr>
        <w:t xml:space="preserve">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20"/>
      </w:r>
      <w:r>
        <w:rPr>
          <w:rtl w:val="0"/>
          <w:lang w:val="fa-IR"/>
        </w:rPr>
        <w:t xml:space="preserve"> این رفتارها برای کسی است که بر سر پیغمبر سرگین خالی می‌کند!</w:t>
      </w:r>
      <w:r>
        <w:rPr>
          <w:rStyle w:val="FootnoteReference"/>
        </w:rPr>
        <w:footnoteReference w:id="21"/>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22"/>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1"/>
      </w:pPr>
      <w:r>
        <w:rPr>
          <w:rtl w:val="0"/>
          <w:lang w:val="fa-IR"/>
        </w:rPr>
        <w:t xml:space="preserve">ناتوانی انسان در مقابل منطق خدا</w:t>
      </w:r>
    </w:p>
    <w:p>
      <w:pPr/>
      <w:r>
        <w:rPr>
          <w:rtl w:val="0"/>
          <w:lang w:val="fa-IR"/>
        </w:rPr>
        <w:t xml:space="preserve">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23"/>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چرا نمی‌توانند این کار را انجام بدهند؟ چون کلام، کلام منطقی است و 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24"/>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25"/>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26"/>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1"/>
      </w:pPr>
      <w:r>
        <w:rPr>
          <w:rtl w:val="0"/>
          <w:lang w:val="fa-IR"/>
        </w:rPr>
        <w:t xml:space="preserve">نمونه‌ای از روش و برخورد پیغمبر با مردم</w:t>
      </w:r>
    </w:p>
    <w:p>
      <w:pPr/>
      <w:r>
        <w:rPr>
          <w:rtl w:val="0"/>
          <w:lang w:val="fa-IR"/>
        </w:rPr>
        <w:t xml:space="preserve">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27"/>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 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28"/>
      </w:r>
    </w:p>
    <w:p>
      <w:pPr/>
      <w:r>
        <w:rPr>
          <w:rtl w:val="0"/>
          <w:lang w:val="fa-IR"/>
        </w:rPr>
        <w:t xml:space="preserve">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29"/>
      </w:r>
      <w:r>
        <w:rPr>
          <w:rtl w:val="0"/>
          <w:lang w:val="fa-IR"/>
        </w:rPr>
        <w:t xml:space="preserve"> پیغمبر هم گاهی‌اوقات سر به سر افراد می‌گذاشت.</w:t>
      </w:r>
    </w:p>
    <w:p>
      <w:pPr>
        <w:pStyle w:val="Heading1"/>
      </w:pPr>
      <w:r>
        <w:rPr>
          <w:rtl w:val="0"/>
          <w:lang w:val="fa-IR"/>
        </w:rPr>
        <w:t xml:space="preserve">زمام‌داری پیامبران الهی پس از اصلاح باطن خویش</w:t>
      </w:r>
    </w:p>
    <w:p>
      <w:pPr/>
      <w:r>
        <w:rPr>
          <w:rtl w:val="0"/>
          <w:lang w:val="fa-IR"/>
        </w:rPr>
        <w:t xml:space="preserve">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30"/>
      </w:r>
      <w:r>
        <w:rPr>
          <w:rtl w:val="0"/>
          <w:lang w:val="fa-IR"/>
        </w:rPr>
        <w:t xml:space="preserve"> «من تو را برای خودم درست کردم و برگزیدم.» من آن جنبۀ تعلّق بین من و تو را به‌وجود آورده‌ام. حافظ ـ خدا رحمتش کند ـ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31"/>
      </w:r>
    </w:p>
    <w:p>
      <w:pPr/>
      <w:r>
        <w:rPr>
          <w:rtl w:val="0"/>
          <w:lang w:val="fa-IR"/>
        </w:rPr>
        <w:t xml:space="preserve">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ببینید تفاوت ره از کجا است تا به کجا!</w:t>
      </w:r>
      <w:r>
        <w:rPr>
          <w:rStyle w:val="FootnoteReference"/>
        </w:rPr>
        <w:footnoteReference w:id="32"/>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Style w:val="She'rMatn"/>
      </w:pPr>
      <w:r>
        <w:rPr>
          <w:rtl w:val="0"/>
          <w:lang w:val="fa-IR"/>
        </w:rPr>
        <w:t xml:space="preserve">کار پاکان را قیاس از خود مگیر *** گرچه باشد در نوشتن شیر، شیر</w:t>
      </w:r>
      <w:r>
        <w:rPr>
          <w:rStyle w:val="FootnoteReference"/>
        </w:rPr>
        <w:footnoteReference w:id="33"/>
      </w:r>
    </w:p>
    <w:p>
      <w:pPr>
        <w:pStyle w:val="Heading1"/>
      </w:pPr>
      <w:r>
        <w:rPr>
          <w:rtl w:val="0"/>
          <w:lang w:val="fa-IR"/>
        </w:rPr>
        <w:t xml:space="preserve">معنای </w:t>
      </w:r>
      <w:r>
        <w:rPr>
          <w:rStyle w:val="Arabi"/>
          <w:rtl w:val="0"/>
          <w:lang w:val="fa-IR"/>
        </w:rPr>
        <w:t xml:space="preserve">«سَبیل»</w:t>
      </w:r>
      <w:r>
        <w:rPr>
          <w:rtl w:val="0"/>
          <w:lang w:val="fa-IR"/>
        </w:rPr>
        <w:t xml:space="preserve"> در آیات قرآن</w:t>
      </w:r>
    </w:p>
    <w:p>
      <w:pPr/>
      <w:r>
        <w:rPr>
          <w:rStyle w:val="Arabi"/>
          <w:rtl w:val="0"/>
          <w:lang w:val="fa-IR"/>
        </w:rPr>
        <w:t xml:space="preserve">سبیل</w:t>
      </w:r>
      <w:r>
        <w:rPr>
          <w:rtl w:val="0"/>
          <w:lang w:val="fa-IR"/>
        </w:rPr>
        <w:t xml:space="preserve"> یعنی این قِسم! سبیل پروردگار یعنی راهِ به‌سوی خدا. لذا در همۀ آیات قرآن «</w:t>
      </w:r>
      <w:r>
        <w:rPr>
          <w:rStyle w:val="Arabi"/>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34"/>
      </w:r>
      <w:r>
        <w:rPr>
          <w:rtl w:val="0"/>
          <w:lang w:val="fa-IR"/>
        </w:rPr>
        <w:t xml:space="preserve"> </w:t>
      </w:r>
      <w:r>
        <w:rPr>
          <w:rtl w:val="0"/>
          <w:lang w:val="fa-IR"/>
        </w:rPr>
        <w:t xml:space="preserve">﴿سَبِيلِ رَبِّكَ﴾</w:t>
      </w:r>
      <w:r>
        <w:rPr>
          <w:rtl w:val="0"/>
          <w:lang w:val="fa-IR"/>
        </w:rPr>
        <w:t xml:space="preserve">،</w:t>
      </w:r>
      <w:r>
        <w:rPr>
          <w:rStyle w:val="FootnoteReference"/>
        </w:rPr>
        <w:footnoteReference w:id="35"/>
      </w:r>
      <w:r>
        <w:rPr>
          <w:rtl w:val="0"/>
          <w:lang w:val="fa-IR"/>
        </w:rPr>
        <w:t xml:space="preserve"> </w:t>
      </w:r>
      <w:r>
        <w:rPr>
          <w:rtl w:val="0"/>
          <w:lang w:val="fa-IR"/>
        </w:rPr>
        <w:t xml:space="preserve">﴿سَبِيلِ ٱللَهِ﴾</w:t>
      </w:r>
      <w:r>
        <w:rPr>
          <w:rtl w:val="0"/>
          <w:lang w:val="fa-IR"/>
        </w:rPr>
        <w:t xml:space="preserve">؛</w:t>
      </w:r>
      <w:r>
        <w:rPr>
          <w:rStyle w:val="FootnoteReference"/>
        </w:rPr>
        <w:footnoteReference w:id="36"/>
      </w:r>
      <w:r>
        <w:rPr>
          <w:rtl w:val="0"/>
          <w:lang w:val="fa-IR"/>
        </w:rPr>
        <w:t xml:space="preserve"> و در بعضی از آیات، جمع </w:t>
      </w:r>
      <w:r>
        <w:rPr>
          <w:rStyle w:val="Arabi"/>
          <w:rtl w:val="0"/>
          <w:lang w:val="fa-IR"/>
        </w:rPr>
        <w:t xml:space="preserve">سبیل</w:t>
      </w:r>
      <w:r>
        <w:rPr>
          <w:rtl w:val="0"/>
          <w:lang w:val="fa-IR"/>
        </w:rPr>
        <w:t xml:space="preserve"> به </w:t>
      </w:r>
      <w:r>
        <w:rPr>
          <w:rStyle w:val="Arabi"/>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37"/>
      </w:r>
      <w:r>
        <w:rPr>
          <w:rtl w:val="0"/>
          <w:lang w:val="fa-IR"/>
        </w:rPr>
        <w:t xml:space="preserve"> در آیۀ دیگری هم داریم: </w:t>
      </w:r>
      <w:r>
        <w:rPr>
          <w:rtl w:val="0"/>
          <w:lang w:val="fa-IR"/>
        </w:rPr>
        <w:t xml:space="preserve">﴿وَٱلَّذِينَ جَٰهَدُواْ فِينَا لَنَهۡدِيَنَّهُمۡ سُبُلَنَا﴾</w:t>
      </w:r>
      <w:r>
        <w:rPr>
          <w:rtl w:val="0"/>
          <w:lang w:val="fa-IR"/>
        </w:rPr>
        <w:t xml:space="preserve">؛</w:t>
      </w:r>
      <w:r>
        <w:rPr>
          <w:rStyle w:val="FootnoteReference"/>
        </w:rPr>
        <w:footnoteReference w:id="38"/>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39"/>
      </w:r>
    </w:p>
    <w:p>
      <w:pPr>
        <w:pStyle w:val="Heading1"/>
      </w:pPr>
      <w:r>
        <w:rPr>
          <w:rtl w:val="0"/>
          <w:lang w:val="fa-IR"/>
        </w:rPr>
        <w:t xml:space="preserve">تفاوت تقاضای افراد به‌خاطر تفاوت در اسماء الهی</w:t>
      </w:r>
    </w:p>
    <w:p>
      <w:pPr/>
      <w:r>
        <w:rPr>
          <w:rtl w:val="0"/>
          <w:lang w:val="fa-IR"/>
        </w:rPr>
        <w:t xml:space="preserve">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 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1"/>
      </w:pPr>
      <w:r>
        <w:rPr>
          <w:rtl w:val="0"/>
          <w:lang w:val="fa-IR"/>
        </w:rPr>
        <w:t xml:space="preserve">تحقّق </w:t>
      </w:r>
      <w:r>
        <w:rPr>
          <w:rStyle w:val="Arabi"/>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40"/>
      </w:r>
      <w:r>
        <w:rPr>
          <w:rtl w:val="0"/>
          <w:lang w:val="fa-IR"/>
        </w:rPr>
        <w:t xml:space="preserve"> است.</w:t>
      </w:r>
    </w:p>
    <w:p>
      <w:pPr/>
      <w:r>
        <w:rPr>
          <w:rtl w:val="0"/>
          <w:lang w:val="fa-IR"/>
        </w:rPr>
        <w:t xml:space="preserve">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هر مطلب حقّی مربوط به امیرالمؤمنین و امام زمان است، آن‌وقت بنده در اینجا 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1"/>
      </w:pPr>
      <w:r>
        <w:rPr>
          <w:rtl w:val="0"/>
          <w:lang w:val="fa-IR"/>
        </w:rPr>
        <w:t xml:space="preserve">جریان تقدّم زیارت صدر اصفهانی بر زیارت امیرالمؤمنین توسّط یک طلبه و اشکال آن</w:t>
      </w:r>
    </w:p>
    <w:p>
      <w:pPr/>
      <w:r>
        <w:rPr>
          <w:rtl w:val="0"/>
          <w:lang w:val="fa-IR"/>
        </w:rPr>
        <w:t xml:space="preserve">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pStyle w:val="Heading1"/>
      </w:pPr>
      <w:r>
        <w:rPr>
          <w:rtl w:val="0"/>
          <w:lang w:val="fa-IR"/>
        </w:rPr>
        <w:t xml:space="preserve">حکایتی از خواسته‌های نامعقول افراد</w:t>
      </w:r>
    </w:p>
    <w:p>
      <w:pPr/>
      <w:r>
        <w:rPr>
          <w:rtl w:val="0"/>
          <w:lang w:val="fa-IR"/>
        </w:rPr>
        <w:t xml:space="preserve">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حالا لابد این مسئله هم زمانی بوده است که رابطۀ این دو با هم شکراب شده بود. بعضی‌ها می‌گویند: </w:t>
      </w:r>
      <w:r>
        <w:rPr>
          <w:rStyle w:val="Arabi"/>
          <w:rtl w:val="0"/>
          <w:lang w:val="fa-IR"/>
        </w:rPr>
        <w:t xml:space="preserve">اللَهمّ اشغَل الظّالمینَ بالظّالمینَ و اجعَلنا بینَهُم سالمینَ غانمینَ!</w:t>
      </w:r>
      <w:r>
        <w:rPr>
          <w:rStyle w:val="FootnoteReference"/>
        </w:rPr>
        <w:footnoteReference w:id="41"/>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1"/>
      </w:pPr>
      <w:r>
        <w:rPr>
          <w:rtl w:val="0"/>
          <w:lang w:val="fa-IR"/>
        </w:rPr>
        <w:t xml:space="preserve">توصیۀ علاّمه طهرانی به یکی از شاگردان: «زحماتت را با کمتر از خودش معاوضه نکن!»</w:t>
      </w:r>
    </w:p>
    <w:p>
      <w:pPr/>
      <w:r>
        <w:rPr>
          <w:rtl w:val="0"/>
          <w:lang w:val="fa-IR"/>
        </w:rPr>
        <w:t xml:space="preserve">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 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علیٰ‌کلّ‌حال، مجلس تمام گشت و به آخر رسید عمر!</w:t>
      </w:r>
      <w:r>
        <w:rPr>
          <w:rStyle w:val="FootnoteReference"/>
        </w:rPr>
        <w:footnoteReference w:id="42"/>
      </w:r>
    </w:p>
    <w:p>
      <w:pPr/>
      <w:r>
        <w:rPr>
          <w:rtl w:val="0"/>
          <w:lang w:val="fa-IR"/>
        </w:rPr>
        <w:t xml:space="preserve">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 حکم و بیانات آقایان عرب، </w:t>
      </w:r>
      <w:r>
        <w:rPr>
          <w:rStyle w:val="Arabi"/>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43"/>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Style w:val="She'rMatn"/>
      </w:pPr>
      <w:r>
        <w:rPr>
          <w:rStyle w:val="Arabi"/>
          <w:rtl w:val="0"/>
          <w:lang w:val="fa-IR"/>
        </w:rPr>
        <w:t xml:space="preserve">أُحِبُّ الصّالحینَ و لَستُ مِنهُم *** لعلَّ الله أن یرزُقَنی الصَّلاحا</w:t>
      </w:r>
      <w:r>
        <w:rPr>
          <w:rStyle w:val="FootnoteReference"/>
        </w:rPr>
        <w:footnoteReference w:id="44"/>
      </w:r>
    </w:p>
    <w:p>
      <w:pPr/>
      <w:r>
        <w:rPr>
          <w:rtl w:val="0"/>
          <w:lang w:val="fa-IR"/>
        </w:rPr>
        <w:t xml:space="preserve">امیدواریم خداوند صلاح را روزی ما بگرداند!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المتهجّد</w:t>
      </w:r>
      <w:r>
        <w:rPr>
          <w:rtl w:val="0"/>
          <w:lang w:val="fa-IR"/>
        </w:rPr>
        <w:t xml:space="preserve">، ج 2، ص 582، فقره‌ای از دعای ابوحمزۀ ثمالی.</w:t>
      </w:r>
    </w:p>
  </w:footnote>
  <w:footnote w:id="2">
    <w:p>
      <w:pPr>
        <w:pStyle w:val="FootnoteText"/>
      </w:pPr>
      <w:r>
        <w:rPr>
          <w:rStyle w:val="FootnoteReference"/>
        </w:rPr>
        <w:footnoteRef/>
      </w:r>
      <w:r>
        <w:t xml:space="preserve"> </w:t>
      </w:r>
      <w:r>
        <w:rPr>
          <w:rtl w:val="0"/>
          <w:lang w:val="fa-IR"/>
        </w:rPr>
        <w:t xml:space="preserve">. البتّه من نمی‌دانم، اگر کسی این کار را انجام داده به ما هم یاد بدهد. گرچه إن‌شاءالله هیچ‌وقت گذر ما به آنجاها نمی‌افتد، ولی دانستن آن بد نیست.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397 و 421.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«صعقه: بیهوش گردیدن.»</w:t>
      </w:r>
    </w:p>
  </w:footnote>
  <w:footnote w:id="5">
    <w:p>
      <w:pPr>
        <w:pStyle w:val="FootnoteText"/>
      </w:pPr>
      <w:r>
        <w:rPr>
          <w:rStyle w:val="FootnoteReference"/>
        </w:rPr>
        <w:footnoteRef/>
      </w:r>
      <w:r>
        <w:t xml:space="preserve"> </w:t>
      </w:r>
      <w:r>
        <w:rPr>
          <w:rtl w:val="0"/>
          <w:lang w:val="fa-IR"/>
        </w:rPr>
        <w:t xml:space="preserve">. برگرفته از </w:t>
      </w:r>
      <w:r>
        <w:rPr>
          <w:rtl w:val="0"/>
          <w:lang w:val="fa-IR"/>
        </w:rPr>
        <w:t xml:space="preserve">انوار الملکوت</w:t>
      </w:r>
      <w:r>
        <w:rPr>
          <w:rtl w:val="0"/>
          <w:lang w:val="fa-IR"/>
        </w:rPr>
        <w:t xml:space="preserve">، ج 2، ص 292؛ </w:t>
      </w:r>
      <w:r>
        <w:rPr>
          <w:rtl w:val="0"/>
          <w:lang w:val="fa-IR"/>
        </w:rPr>
        <w:t xml:space="preserve">مناقب آل أبی‌طالب</w:t>
      </w:r>
      <w:r>
        <w:rPr>
          <w:rtl w:val="0"/>
          <w:lang w:val="fa-IR"/>
        </w:rPr>
        <w:t xml:space="preserve"> علیهم السّلام، ج 4، ص 142 و 150 و 151، با قدری اختلاف در مصادر.</w:t>
      </w:r>
    </w:p>
  </w:footnote>
  <w:footnote w:id="6">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«(ای پیغمبر،) بخوان به‌سوی راه پروردگارت با حکمت و موعظۀ حسنه!»</w:t>
      </w:r>
    </w:p>
  </w:footnote>
  <w:footnote w:id="7">
    <w:p>
      <w:pPr>
        <w:pStyle w:val="FootnoteText"/>
      </w:pPr>
      <w:r>
        <w:rPr>
          <w:rStyle w:val="FootnoteReference"/>
        </w:rPr>
        <w:footnoteRef/>
      </w:r>
      <w:r>
        <w:t xml:space="preserve"> </w:t>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8">
    <w:p>
      <w:pPr>
        <w:pStyle w:val="FootnoteText"/>
      </w:pPr>
      <w:r>
        <w:rPr>
          <w:rStyle w:val="FootnoteReference"/>
        </w:rPr>
        <w:footnoteRef/>
      </w:r>
      <w:r>
        <w:t xml:space="preserve"> </w:t>
      </w:r>
      <w:r>
        <w:rPr>
          <w:rtl w:val="0"/>
          <w:lang w:val="fa-IR"/>
        </w:rPr>
        <w:t xml:space="preserve">. سوره لقمان (31) آیه 12. </w:t>
      </w:r>
      <w:r>
        <w:rPr>
          <w:rtl w:val="0"/>
          <w:lang w:val="fa-IR"/>
        </w:rPr>
        <w:t xml:space="preserve">سرّ الفتوح ناظر بر پرواز روح</w:t>
      </w:r>
      <w:r>
        <w:rPr>
          <w:rtl w:val="0"/>
          <w:lang w:val="fa-IR"/>
        </w:rPr>
        <w:t xml:space="preserve">، ص 41:</w:t>
      </w:r>
    </w:p>
    <w:p>
      <w:pPr>
        <w:pStyle w:val="FootnoteText"/>
      </w:pPr>
      <w:r>
        <w:rPr>
          <w:rtl w:val="0"/>
          <w:lang w:val="fa-IR"/>
        </w:rPr>
        <w:t xml:space="preserve">«و به‌تحقیق که ما به لقمان، حکمت آموختیم.»</w:t>
      </w:r>
    </w:p>
  </w:footnote>
  <w:footnote w:id="9">
    <w:p>
      <w:pPr>
        <w:pStyle w:val="FootnoteText"/>
      </w:pPr>
      <w:r>
        <w:rPr>
          <w:rStyle w:val="FootnoteReference"/>
        </w:rPr>
        <w:footnoteRef/>
      </w:r>
      <w:r>
        <w:t xml:space="preserve"> </w:t>
      </w:r>
      <w:r>
        <w:rPr>
          <w:rtl w:val="0"/>
          <w:lang w:val="fa-IR"/>
        </w:rPr>
        <w:t xml:space="preserve">. 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320.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199 ـ 202.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232 ـ 234 و 277 ـ 281 و 299 ـ 301.</w:t>
      </w:r>
    </w:p>
  </w:footnote>
  <w:footnote w:id="12">
    <w:p>
      <w:pPr>
        <w:pStyle w:val="FootnoteText"/>
      </w:pPr>
      <w:r>
        <w:rPr>
          <w:rtl w:val="0"/>
          <w:lang w:val="fa-IR"/>
        </w:rPr>
        <w:footnoteRef/>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w:t>
      </w:r>
    </w:p>
  </w:footnote>
  <w:footnote w:id="13">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14">
    <w:p>
      <w:pPr>
        <w:pStyle w:val="FootnoteText"/>
      </w:pPr>
      <w:r>
        <w:rPr>
          <w:rStyle w:val="FootnoteReference"/>
        </w:rPr>
        <w:footnoteRef/>
      </w:r>
      <w:r>
        <w:t xml:space="preserve"> </w:t>
      </w:r>
      <w:r>
        <w:rPr>
          <w:rtl w:val="0"/>
          <w:lang w:val="fa-IR"/>
        </w:rPr>
        <w:t xml:space="preserve">. سوره حجر (15) آیه 47. </w:t>
      </w:r>
      <w:r>
        <w:rPr>
          <w:rtl w:val="0"/>
          <w:lang w:val="fa-IR"/>
        </w:rPr>
        <w:t xml:space="preserve">معاد شناسی</w:t>
      </w:r>
      <w:r>
        <w:rPr>
          <w:rtl w:val="0"/>
          <w:lang w:val="fa-IR"/>
        </w:rPr>
        <w:t xml:space="preserve">، ج 10، ص 122:</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15">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720؛ </w:t>
      </w:r>
      <w:r>
        <w:rPr>
          <w:rtl w:val="0"/>
          <w:lang w:val="fa-IR"/>
        </w:rPr>
        <w:t xml:space="preserve">شرح نهج البلاغة</w:t>
      </w:r>
      <w:r>
        <w:rPr>
          <w:rtl w:val="0"/>
          <w:lang w:val="fa-IR"/>
        </w:rPr>
        <w:t xml:space="preserve">، ابن‌أبی‌الحدید، ج 20، ص 341، با قدری اختلاف در مصادر. </w:t>
      </w:r>
      <w:r>
        <w:rPr>
          <w:rtl w:val="0"/>
          <w:lang w:val="fa-IR"/>
        </w:rPr>
        <w:t xml:space="preserve">اسرار ملکوت</w:t>
      </w:r>
      <w:r>
        <w:rPr>
          <w:rtl w:val="0"/>
          <w:lang w:val="fa-IR"/>
        </w:rPr>
        <w:t xml:space="preserve">، ج 1، ص 162:</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17">
    <w:p>
      <w:pPr>
        <w:pStyle w:val="FootnoteText"/>
      </w:pPr>
      <w:r>
        <w:rPr>
          <w:rtl w:val="0"/>
          <w:lang w:val="fa-IR"/>
        </w:rPr>
        <w:footnoteRef/>
      </w:r>
      <w:r>
        <w:rPr>
          <w:rtl w:val="0"/>
          <w:lang w:val="fa-IR"/>
        </w:rPr>
        <w:t xml:space="preserve">. بالأخره سابق از این مؤمنین وجود داشتند، ولی الآن مانند این افراد کم شده است!</w:t>
      </w:r>
    </w:p>
  </w:footnote>
  <w:footnote w:id="18">
    <w:p>
      <w:pPr>
        <w:pStyle w:val="FootnoteText"/>
      </w:pPr>
      <w:r>
        <w:rPr>
          <w:rtl w:val="0"/>
          <w:lang w:val="fa-IR"/>
        </w:rPr>
        <w:footnoteRef/>
      </w:r>
      <w:r>
        <w:rPr>
          <w:rtl w:val="0"/>
          <w:lang w:val="fa-IR"/>
        </w:rPr>
        <w:t xml:space="preserve">. الآن فوت کرده است، خدا رحمتش کند.</w:t>
      </w:r>
    </w:p>
  </w:footnote>
  <w:footnote w:id="19">
    <w:p>
      <w:pPr>
        <w:pStyle w:val="FootnoteText"/>
      </w:pPr>
      <w:r>
        <w:rPr>
          <w:rStyle w:val="FootnoteReference"/>
        </w:rPr>
        <w:footnoteRef/>
      </w:r>
      <w:r>
        <w:t xml:space="preserve"> </w:t>
      </w:r>
      <w:r>
        <w:rPr>
          <w:rtl w:val="0"/>
          <w:lang w:val="fa-IR"/>
        </w:rPr>
        <w:t xml:space="preserve">. سوره آل‌عمران (3) آیه 159. </w:t>
      </w:r>
      <w:r>
        <w:rPr>
          <w:rtl w:val="0"/>
          <w:lang w:val="fa-IR"/>
        </w:rPr>
        <w:t xml:space="preserve">اسرار ملکوت</w:t>
      </w:r>
      <w:r>
        <w:rPr>
          <w:rtl w:val="0"/>
          <w:lang w:val="fa-IR"/>
        </w:rPr>
        <w:t xml:space="preserve">، ج 1، ص 162:</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إعلام الوری</w:t>
      </w:r>
      <w:r>
        <w:rPr>
          <w:rtl w:val="0"/>
          <w:lang w:val="fa-IR"/>
        </w:rPr>
        <w:t xml:space="preserve">، ج 1، ص 136 ـ 138.</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449؛ </w:t>
      </w:r>
      <w:r>
        <w:rPr>
          <w:rtl w:val="0"/>
          <w:lang w:val="fa-IR"/>
        </w:rPr>
        <w:t xml:space="preserve">أنساب الأشراف</w:t>
      </w:r>
      <w:r>
        <w:rPr>
          <w:rtl w:val="0"/>
          <w:lang w:val="fa-IR"/>
        </w:rPr>
        <w:t xml:space="preserve">، ج 1، ص 125.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1، ص 68.</w:t>
      </w:r>
    </w:p>
  </w:footnote>
  <w:footnote w:id="23">
    <w:p>
      <w:pPr>
        <w:pStyle w:val="FootnoteText"/>
      </w:pPr>
      <w:r>
        <w:rPr>
          <w:rStyle w:val="FootnoteReference"/>
        </w:rPr>
        <w:footnoteRef/>
      </w:r>
      <w:r>
        <w:t xml:space="preserve"> </w:t>
      </w:r>
      <w:r>
        <w:rPr>
          <w:rtl w:val="0"/>
          <w:lang w:val="fa-IR"/>
        </w:rPr>
        <w:t xml:space="preserve">. سوره اسراء (17) آیه 88.</w:t>
      </w:r>
    </w:p>
  </w:footnote>
  <w:footnote w:id="24">
    <w:p>
      <w:pPr>
        <w:pStyle w:val="FootnoteText"/>
      </w:pPr>
      <w:r>
        <w:rPr>
          <w:rStyle w:val="FootnoteReference"/>
        </w:rPr>
        <w:footnoteRef/>
      </w:r>
      <w:r>
        <w:t xml:space="preserve"> </w:t>
      </w:r>
      <w:r>
        <w:rPr>
          <w:rtl w:val="0"/>
          <w:lang w:val="fa-IR"/>
        </w:rPr>
        <w:t xml:space="preserve">. سوره هود (11) آیه 13: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2، ص 72:</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25">
    <w:p>
      <w:pPr>
        <w:pStyle w:val="FootnoteText"/>
      </w:pPr>
      <w:r>
        <w:rPr>
          <w:rStyle w:val="FootnoteReference"/>
        </w:rPr>
        <w:footnoteRef/>
      </w:r>
      <w:r>
        <w:t xml:space="preserve"> </w:t>
      </w:r>
      <w:r>
        <w:rPr>
          <w:rtl w:val="0"/>
          <w:lang w:val="fa-IR"/>
        </w:rPr>
        <w:t xml:space="preserve">. سوره بقره (2) آیه 23.</w:t>
      </w:r>
    </w:p>
  </w:footnote>
  <w:footnote w:id="26">
    <w:p>
      <w:pPr>
        <w:pStyle w:val="FootnoteText"/>
      </w:pPr>
      <w:r>
        <w:rPr>
          <w:rStyle w:val="FootnoteReference"/>
        </w:rPr>
        <w:footnoteRef/>
      </w:r>
      <w:r>
        <w:t xml:space="preserve"> </w:t>
      </w:r>
      <w:r>
        <w:rPr>
          <w:rtl w:val="0"/>
          <w:lang w:val="fa-IR"/>
        </w:rPr>
        <w:t xml:space="preserve">. سوره نصر (110) آیه 1. </w:t>
      </w:r>
      <w:r>
        <w:rPr>
          <w:rtl w:val="0"/>
          <w:lang w:val="fa-IR"/>
        </w:rPr>
        <w:t xml:space="preserve">نور ملکوت قرآن</w:t>
      </w:r>
      <w:r>
        <w:rPr>
          <w:rtl w:val="0"/>
          <w:lang w:val="fa-IR"/>
        </w:rPr>
        <w:t xml:space="preserve">، ج 2، ص 540:</w:t>
      </w:r>
    </w:p>
    <w:p>
      <w:pPr>
        <w:pStyle w:val="FootnoteText"/>
      </w:pPr>
      <w:r>
        <w:rPr>
          <w:rtl w:val="0"/>
          <w:lang w:val="fa-IR"/>
        </w:rPr>
        <w:t xml:space="preserve">«چون نصرت و پیروزی خداوندی رسید.»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1، ص 252.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2، ص 578 ـ 581، با قدری اختلاف.</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راوندی، ص 10.</w:t>
      </w:r>
    </w:p>
  </w:footnote>
  <w:footnote w:id="30">
    <w:p>
      <w:pPr>
        <w:pStyle w:val="FootnoteText"/>
      </w:pPr>
      <w:r>
        <w:rPr>
          <w:rStyle w:val="FootnoteReference"/>
        </w:rPr>
        <w:footnoteRef/>
      </w:r>
      <w:r>
        <w:t xml:space="preserve"> </w:t>
      </w:r>
      <w:r>
        <w:rPr>
          <w:rtl w:val="0"/>
          <w:lang w:val="fa-IR"/>
        </w:rPr>
        <w:t xml:space="preserve">. سوره طه (20) آیه 41.</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غزل 2:</w:t>
      </w:r>
    </w:p>
    <w:p>
      <w:pPr>
        <w:pStyle w:val="She'rPavaraghi"/>
      </w:pPr>
      <w:r>
        <w:rPr>
          <w:rtl w:val="0"/>
          <w:lang w:val="fa-IR"/>
        </w:rPr>
        <w:t xml:space="preserve">صلاح کار کجا و من خراب کجا؟ *** ببین تفاوت ره کز کجاست تا به کجا!</w:t>
      </w:r>
    </w:p>
    <w:p>
      <w:pPr>
        <w:pStyle w:val="FootnoteText"/>
      </w:pP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4">
    <w:p>
      <w:pPr>
        <w:pStyle w:val="FootnoteText"/>
      </w:pPr>
      <w:r>
        <w:rPr>
          <w:rStyle w:val="FootnoteReference"/>
        </w:rPr>
        <w:footnoteRef/>
      </w:r>
      <w:r>
        <w:t xml:space="preserve"> </w:t>
      </w:r>
      <w:r>
        <w:rPr>
          <w:rtl w:val="0"/>
          <w:lang w:val="fa-IR"/>
        </w:rPr>
        <w:t xml:space="preserve">. سوره مائده (5) آیه 35 و بسیاری آیات دیگر.</w:t>
      </w:r>
    </w:p>
  </w:footnote>
  <w:footnote w:id="35">
    <w:p>
      <w:pPr>
        <w:pStyle w:val="FootnoteText"/>
      </w:pPr>
      <w:r>
        <w:rPr>
          <w:rStyle w:val="FootnoteReference"/>
        </w:rPr>
        <w:footnoteRef/>
      </w:r>
      <w:r>
        <w:t xml:space="preserve"> </w:t>
      </w:r>
      <w:r>
        <w:rPr>
          <w:rtl w:val="0"/>
          <w:lang w:val="fa-IR"/>
        </w:rPr>
        <w:t xml:space="preserve">. سوره نحل (16) آیه 125.</w:t>
      </w:r>
    </w:p>
  </w:footnote>
  <w:footnote w:id="36">
    <w:p>
      <w:pPr>
        <w:pStyle w:val="FootnoteText"/>
      </w:pPr>
      <w:r>
        <w:rPr>
          <w:rStyle w:val="FootnoteReference"/>
        </w:rPr>
        <w:footnoteRef/>
      </w:r>
      <w:r>
        <w:t xml:space="preserve"> </w:t>
      </w:r>
      <w:r>
        <w:rPr>
          <w:rtl w:val="0"/>
          <w:lang w:val="fa-IR"/>
        </w:rPr>
        <w:t xml:space="preserve">. سوره بقره (2) آیه 154 و بسیاری آیات دیگر.</w:t>
      </w:r>
    </w:p>
  </w:footnote>
  <w:footnote w:id="37">
    <w:p>
      <w:pPr>
        <w:pStyle w:val="FootnoteText"/>
      </w:pPr>
      <w:r>
        <w:rPr>
          <w:rStyle w:val="FootnoteReference"/>
        </w:rPr>
        <w:footnoteRef/>
      </w:r>
      <w:r>
        <w:t xml:space="preserve"> </w:t>
      </w:r>
      <w:r>
        <w:rPr>
          <w:rtl w:val="0"/>
          <w:lang w:val="fa-IR"/>
        </w:rPr>
        <w:t xml:space="preserve">. سوره مائده (5) آیه 16. </w:t>
      </w:r>
      <w:r>
        <w:rPr>
          <w:rtl w:val="0"/>
          <w:lang w:val="fa-IR"/>
        </w:rPr>
        <w:t xml:space="preserve">معاد شناسی</w:t>
      </w:r>
      <w:r>
        <w:rPr>
          <w:rtl w:val="0"/>
          <w:lang w:val="fa-IR"/>
        </w:rPr>
        <w:t xml:space="preserve">، ج 9، ص 130:</w:t>
      </w:r>
    </w:p>
    <w:p>
      <w:pPr>
        <w:pStyle w:val="FootnoteText"/>
      </w:pPr>
      <w:r>
        <w:rPr>
          <w:rtl w:val="0"/>
          <w:lang w:val="fa-IR"/>
        </w:rPr>
        <w:t xml:space="preserve">«به‌تحقیق که از طرف خداوند برای شما نور و کتاب آشکاری آمد که خداوند به‌واسطۀ آن هر کس را که طالب مقام رضای او باشد، به راه‌های سلام رهبری می‌کند و از ظلمات به اذن خود خارج نموده و داخل در نور می‌نماید و به‌سوی صراط مستقیم هدایت می‌نماید.»</w:t>
      </w:r>
    </w:p>
  </w:footnote>
  <w:footnote w:id="38">
    <w:p>
      <w:pPr>
        <w:pStyle w:val="FootnoteText"/>
      </w:pPr>
      <w:r>
        <w:rPr>
          <w:rStyle w:val="FootnoteReference"/>
        </w:rPr>
        <w:footnoteRef/>
      </w:r>
      <w:r>
        <w:t xml:space="preserve"> </w:t>
      </w:r>
      <w:r>
        <w:rPr>
          <w:rtl w:val="0"/>
          <w:lang w:val="fa-IR"/>
        </w:rPr>
        <w:t xml:space="preserve">. سوره عنکبوت (29) آیه 69.</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458.</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w:t>
      </w:r>
    </w:p>
  </w:footnote>
  <w:footnote w:id="41">
    <w:p>
      <w:pPr>
        <w:pStyle w:val="FootnoteText"/>
      </w:pPr>
      <w:r>
        <w:rPr>
          <w:rStyle w:val="FootnoteReference"/>
        </w:rPr>
        <w:footnoteRef/>
      </w:r>
      <w:r>
        <w:t xml:space="preserve"> </w:t>
      </w:r>
      <w:r>
        <w:rPr>
          <w:rtl w:val="0"/>
          <w:lang w:val="fa-IR"/>
        </w:rPr>
        <w:t xml:space="preserve">. ترجمه: «خداوندا، ظالمان را با ظالمان مشغول ساز و در میان ایشان ما را سالم و پیروز قرار بده!»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دیباچه، ص 5:</w:t>
      </w:r>
    </w:p>
    <w:p>
      <w:pPr>
        <w:pStyle w:val="She'rPavaraghi"/>
      </w:pPr>
      <w:r>
        <w:rPr>
          <w:rtl w:val="0"/>
          <w:lang w:val="fa-IR"/>
        </w:rPr>
        <w:t xml:space="preserve">مجلس تمام گشت و به آخر رسید عمر *** ما هم‌چنان در اوّل وصف تو مانده‌ایم</w:t>
      </w:r>
    </w:p>
    <w:p>
      <w:pPr>
        <w:pStyle w:val="FootnoteText"/>
      </w:pP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803.</w:t>
      </w:r>
    </w:p>
  </w:footnote>
  <w:footnote w:id="44">
    <w:p>
      <w:pPr>
        <w:pStyle w:val="FootnoteText"/>
      </w:pPr>
      <w:r>
        <w:rPr>
          <w:rStyle w:val="FootnoteReference"/>
        </w:rPr>
        <w:footnoteRef/>
      </w:r>
      <w:r>
        <w:t xml:space="preserve"> </w:t>
      </w:r>
      <w:r>
        <w:rPr>
          <w:rtl/>
          <w:lang w:val="fa-IR"/>
        </w:rPr>
        <w:t xml:space="preserve">. ترجمه: «من صالحین و خوبان را دوست دارم، امّا خودم از ایشان نیستم؛ شاید که خداوند به من هم خوبی را روزی گرداند (و مرا از زمرۀ ایشان قرار دهد).»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